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数显智能三相表--用户手册</w:t>
      </w:r>
    </w:p>
    <w:p>
      <w:pPr>
        <w:pStyle w:val="2"/>
      </w:pPr>
      <w:r>
        <w:rPr>
          <w:rFonts w:hint="eastAsia"/>
        </w:rPr>
        <w:t>一、概述</w:t>
      </w:r>
    </w:p>
    <w:p>
      <w:pPr>
        <w:spacing w:line="360" w:lineRule="auto"/>
      </w:pPr>
      <w:r>
        <w:rPr>
          <w:rFonts w:hint="eastAsia"/>
        </w:rPr>
        <w:t xml:space="preserve">    数显智能三相表适用于电力电网、自动化系统中对电流、电压的电参数测量和显示，通过面板设置倍率，直观显示系统一次侧运行点参数，具有精度高、稳定性好、抗震动等优点，可直接替代原有指针式仪表。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可选表型：（1） 三相电压                       （2） 三相电流</w:t>
      </w:r>
    </w:p>
    <w:p>
      <w:pPr>
        <w:rPr>
          <w:rFonts w:hint="eastAsia"/>
        </w:rPr>
      </w:pPr>
    </w:p>
    <w:p>
      <w:pPr>
        <w:pStyle w:val="2"/>
      </w:pPr>
      <w:r>
        <w:rPr>
          <w:rFonts w:hint="eastAsia"/>
        </w:rPr>
        <w:t>二、技术参数</w:t>
      </w:r>
    </w:p>
    <w:tbl>
      <w:tblPr>
        <w:tblStyle w:val="7"/>
        <w:tblW w:w="8606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8"/>
        <w:gridCol w:w="534"/>
        <w:gridCol w:w="976"/>
        <w:gridCol w:w="2404"/>
        <w:gridCol w:w="743"/>
        <w:gridCol w:w="1146"/>
        <w:gridCol w:w="205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748" w:type="dxa"/>
            <w:vAlign w:val="center"/>
          </w:tcPr>
          <w:p>
            <w:pPr>
              <w:jc w:val="center"/>
              <w:rPr>
                <w:rFonts w:ascii="黑体" w:hAnsi="宋体" w:eastAsia="黑体"/>
                <w:b/>
                <w:szCs w:val="21"/>
              </w:rPr>
            </w:pPr>
            <w:r>
              <w:rPr>
                <w:rFonts w:hint="eastAsia" w:ascii="黑体" w:hAnsi="宋体" w:eastAsia="黑体"/>
                <w:b/>
                <w:szCs w:val="21"/>
              </w:rPr>
              <w:t>性能</w:t>
            </w:r>
          </w:p>
        </w:tc>
        <w:tc>
          <w:tcPr>
            <w:tcW w:w="3914" w:type="dxa"/>
            <w:gridSpan w:val="3"/>
            <w:vAlign w:val="center"/>
          </w:tcPr>
          <w:p>
            <w:pPr>
              <w:jc w:val="center"/>
              <w:rPr>
                <w:rFonts w:ascii="黑体" w:hAnsi="宋体" w:eastAsia="黑体"/>
                <w:b/>
                <w:szCs w:val="21"/>
              </w:rPr>
            </w:pPr>
            <w:r>
              <w:rPr>
                <w:rFonts w:hint="eastAsia" w:ascii="黑体" w:hAnsi="宋体" w:eastAsia="黑体"/>
                <w:b/>
                <w:szCs w:val="21"/>
              </w:rPr>
              <w:t>参数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rPr>
                <w:rFonts w:ascii="黑体" w:hAnsi="宋体" w:eastAsia="黑体"/>
                <w:b/>
                <w:szCs w:val="21"/>
              </w:rPr>
            </w:pPr>
            <w:r>
              <w:rPr>
                <w:rFonts w:hint="eastAsia" w:ascii="黑体" w:hAnsi="宋体" w:eastAsia="黑体"/>
                <w:b/>
                <w:szCs w:val="21"/>
              </w:rPr>
              <w:t>性能</w:t>
            </w:r>
          </w:p>
        </w:tc>
        <w:tc>
          <w:tcPr>
            <w:tcW w:w="3201" w:type="dxa"/>
            <w:gridSpan w:val="2"/>
            <w:vAlign w:val="center"/>
          </w:tcPr>
          <w:p>
            <w:pPr>
              <w:jc w:val="center"/>
              <w:rPr>
                <w:rFonts w:ascii="黑体" w:hAnsi="宋体" w:eastAsia="黑体"/>
                <w:b/>
                <w:szCs w:val="21"/>
              </w:rPr>
            </w:pPr>
            <w:r>
              <w:rPr>
                <w:rFonts w:hint="eastAsia" w:ascii="黑体" w:hAnsi="宋体" w:eastAsia="黑体"/>
                <w:b/>
                <w:szCs w:val="21"/>
              </w:rPr>
              <w:t>参数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748" w:type="dxa"/>
            <w:vMerge w:val="restart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ascii="黑体" w:hAnsi="宋体" w:eastAsia="黑体"/>
                <w:b/>
                <w:szCs w:val="21"/>
              </w:rPr>
            </w:pPr>
            <w:r>
              <w:rPr>
                <w:rFonts w:hint="eastAsia" w:ascii="黑体" w:hAnsi="宋体" w:eastAsia="黑体"/>
                <w:b/>
                <w:szCs w:val="21"/>
              </w:rPr>
              <w:t>输  入  测  量  显  示</w:t>
            </w:r>
          </w:p>
        </w:tc>
        <w:tc>
          <w:tcPr>
            <w:tcW w:w="534" w:type="dxa"/>
            <w:vMerge w:val="restart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电压</w:t>
            </w:r>
          </w:p>
        </w:tc>
        <w:tc>
          <w:tcPr>
            <w:tcW w:w="97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额定值</w:t>
            </w:r>
          </w:p>
        </w:tc>
        <w:tc>
          <w:tcPr>
            <w:tcW w:w="2404" w:type="dxa"/>
            <w:tcBorders>
              <w:bottom w:val="single" w:color="auto" w:sz="4" w:space="0"/>
            </w:tcBorders>
            <w:textDirection w:val="lrTb"/>
            <w:vAlign w:val="center"/>
          </w:tcPr>
          <w:p>
            <w:pPr>
              <w:rPr>
                <w:rFonts w:hint="eastAsia" w:ascii="黑体" w:hAnsi="宋体" w:eastAsia="黑体"/>
                <w:szCs w:val="21"/>
                <w:lang w:val="en-US" w:eastAsia="zh-CN"/>
              </w:rPr>
            </w:pP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A</w:t>
            </w:r>
            <w:r>
              <w:rPr>
                <w:rFonts w:hint="eastAsia" w:ascii="黑体" w:hAnsi="宋体" w:eastAsia="黑体"/>
                <w:szCs w:val="21"/>
              </w:rPr>
              <w:t xml:space="preserve">C 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0-</w:t>
            </w:r>
            <w:r>
              <w:rPr>
                <w:rFonts w:hint="eastAsia" w:ascii="黑体" w:hAnsi="宋体" w:eastAsia="黑体"/>
                <w:szCs w:val="21"/>
              </w:rPr>
              <w:t>500V</w:t>
            </w:r>
            <w:r>
              <w:rPr>
                <w:rFonts w:hint="eastAsia" w:ascii="黑体" w:hAnsi="宋体" w:eastAsia="黑体"/>
                <w:szCs w:val="21"/>
                <w:lang w:eastAsia="zh-CN"/>
              </w:rPr>
              <w:t>量程可选</w:t>
            </w:r>
          </w:p>
        </w:tc>
        <w:tc>
          <w:tcPr>
            <w:tcW w:w="743" w:type="dxa"/>
            <w:vMerge w:val="restart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输入</w:t>
            </w:r>
          </w:p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14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频率</w:t>
            </w:r>
          </w:p>
        </w:tc>
        <w:tc>
          <w:tcPr>
            <w:tcW w:w="2055" w:type="dxa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45~65Hz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</w:trPr>
        <w:tc>
          <w:tcPr>
            <w:tcW w:w="748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97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过负荷</w:t>
            </w:r>
          </w:p>
        </w:tc>
        <w:tc>
          <w:tcPr>
            <w:tcW w:w="2404" w:type="dxa"/>
            <w:tcBorders>
              <w:top w:val="single" w:color="auto" w:sz="4" w:space="0"/>
            </w:tcBorders>
            <w:textDirection w:val="lrTb"/>
            <w:vAlign w:val="center"/>
          </w:tcPr>
          <w:p>
            <w:pPr>
              <w:rPr>
                <w:rFonts w:hint="eastAsia"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1.2倍</w:t>
            </w:r>
            <w:r>
              <w:rPr>
                <w:rFonts w:hint="eastAsia" w:ascii="黑体" w:hAnsi="宋体" w:eastAsia="黑体"/>
                <w:szCs w:val="21"/>
                <w:lang w:eastAsia="zh-CN"/>
              </w:rPr>
              <w:t>额定值</w:t>
            </w:r>
            <w:r>
              <w:rPr>
                <w:rFonts w:hint="eastAsia" w:ascii="黑体" w:hAnsi="宋体" w:eastAsia="黑体"/>
                <w:szCs w:val="21"/>
              </w:rPr>
              <w:t>持续</w:t>
            </w:r>
            <w:r>
              <w:rPr>
                <w:rFonts w:hint="eastAsia" w:ascii="黑体" w:hAnsi="宋体" w:eastAsia="黑体"/>
                <w:szCs w:val="21"/>
                <w:lang w:eastAsia="zh-CN"/>
              </w:rPr>
              <w:t>；</w:t>
            </w:r>
            <w:r>
              <w:rPr>
                <w:rFonts w:hint="eastAsia" w:ascii="黑体" w:hAnsi="宋体" w:eastAsia="黑体"/>
                <w:szCs w:val="21"/>
              </w:rPr>
              <w:t xml:space="preserve"> </w:t>
            </w:r>
          </w:p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2倍额定值/1秒</w:t>
            </w:r>
          </w:p>
        </w:tc>
        <w:tc>
          <w:tcPr>
            <w:tcW w:w="743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146" w:type="dxa"/>
            <w:vMerge w:val="restart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配电方式</w:t>
            </w:r>
          </w:p>
        </w:tc>
        <w:tc>
          <w:tcPr>
            <w:tcW w:w="2055" w:type="dxa"/>
            <w:vMerge w:val="restart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三相三线、三相四线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</w:trPr>
        <w:tc>
          <w:tcPr>
            <w:tcW w:w="748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97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功率</w:t>
            </w:r>
          </w:p>
        </w:tc>
        <w:tc>
          <w:tcPr>
            <w:tcW w:w="2404" w:type="dxa"/>
            <w:textDirection w:val="lrTb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&lt;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0.4</w:t>
            </w:r>
            <w:r>
              <w:rPr>
                <w:rFonts w:hint="eastAsia" w:ascii="黑体" w:hAnsi="宋体" w:eastAsia="黑体"/>
                <w:szCs w:val="21"/>
              </w:rPr>
              <w:t>VA（每相）</w:t>
            </w:r>
          </w:p>
        </w:tc>
        <w:tc>
          <w:tcPr>
            <w:tcW w:w="743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146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2055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</w:trPr>
        <w:tc>
          <w:tcPr>
            <w:tcW w:w="748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97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阻抗</w:t>
            </w:r>
          </w:p>
        </w:tc>
        <w:tc>
          <w:tcPr>
            <w:tcW w:w="2404" w:type="dxa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&gt;500kΩ</w:t>
            </w:r>
          </w:p>
        </w:tc>
        <w:tc>
          <w:tcPr>
            <w:tcW w:w="743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电源</w:t>
            </w:r>
          </w:p>
        </w:tc>
        <w:tc>
          <w:tcPr>
            <w:tcW w:w="1146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工作环境</w:t>
            </w:r>
          </w:p>
        </w:tc>
        <w:tc>
          <w:tcPr>
            <w:tcW w:w="2055" w:type="dxa"/>
            <w:tcBorders>
              <w:top w:val="single" w:color="auto" w:sz="4" w:space="0"/>
            </w:tcBorders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AC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 xml:space="preserve"> 220V(可订做AC</w:t>
            </w:r>
            <w:r>
              <w:rPr>
                <w:rFonts w:hint="eastAsia" w:ascii="黑体" w:hAnsi="宋体" w:eastAsia="黑体"/>
                <w:szCs w:val="21"/>
              </w:rPr>
              <w:t>/DC 85~270V)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</w:trPr>
        <w:tc>
          <w:tcPr>
            <w:tcW w:w="748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97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精度</w:t>
            </w:r>
          </w:p>
        </w:tc>
        <w:tc>
          <w:tcPr>
            <w:tcW w:w="2404" w:type="dxa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RMS测量，精度等级0.5</w:t>
            </w:r>
          </w:p>
        </w:tc>
        <w:tc>
          <w:tcPr>
            <w:tcW w:w="743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14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功耗</w:t>
            </w:r>
          </w:p>
        </w:tc>
        <w:tc>
          <w:tcPr>
            <w:tcW w:w="2055" w:type="dxa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≤5VA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</w:trPr>
        <w:tc>
          <w:tcPr>
            <w:tcW w:w="748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534" w:type="dxa"/>
            <w:vMerge w:val="restart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电流</w:t>
            </w:r>
          </w:p>
        </w:tc>
        <w:tc>
          <w:tcPr>
            <w:tcW w:w="97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额定值</w:t>
            </w:r>
          </w:p>
        </w:tc>
        <w:tc>
          <w:tcPr>
            <w:tcW w:w="2404" w:type="dxa"/>
            <w:textDirection w:val="lrTb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AC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 xml:space="preserve"> 1A、</w:t>
            </w:r>
            <w:r>
              <w:rPr>
                <w:rFonts w:hint="eastAsia" w:ascii="黑体" w:hAnsi="宋体" w:eastAsia="黑体"/>
                <w:szCs w:val="21"/>
              </w:rPr>
              <w:t xml:space="preserve"> 5A</w:t>
            </w:r>
          </w:p>
        </w:tc>
        <w:tc>
          <w:tcPr>
            <w:tcW w:w="743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环境</w:t>
            </w:r>
          </w:p>
        </w:tc>
        <w:tc>
          <w:tcPr>
            <w:tcW w:w="114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工作环境</w:t>
            </w:r>
          </w:p>
        </w:tc>
        <w:tc>
          <w:tcPr>
            <w:tcW w:w="2055" w:type="dxa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-10~55℃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</w:trPr>
        <w:tc>
          <w:tcPr>
            <w:tcW w:w="748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97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过负荷</w:t>
            </w:r>
          </w:p>
        </w:tc>
        <w:tc>
          <w:tcPr>
            <w:tcW w:w="2404" w:type="dxa"/>
            <w:textDirection w:val="lrTb"/>
            <w:vAlign w:val="center"/>
          </w:tcPr>
          <w:p>
            <w:pPr>
              <w:rPr>
                <w:rFonts w:hint="eastAsia" w:ascii="黑体" w:hAnsi="宋体" w:eastAsia="黑体"/>
                <w:szCs w:val="21"/>
                <w:lang w:eastAsia="zh-CN"/>
              </w:rPr>
            </w:pPr>
            <w:r>
              <w:rPr>
                <w:rFonts w:hint="eastAsia" w:ascii="黑体" w:hAnsi="宋体" w:eastAsia="黑体"/>
                <w:szCs w:val="21"/>
              </w:rPr>
              <w:t>1.2倍</w:t>
            </w:r>
            <w:r>
              <w:rPr>
                <w:rFonts w:hint="eastAsia" w:ascii="黑体" w:hAnsi="宋体" w:eastAsia="黑体"/>
                <w:szCs w:val="21"/>
                <w:lang w:eastAsia="zh-CN"/>
              </w:rPr>
              <w:t>额定值</w:t>
            </w:r>
            <w:r>
              <w:rPr>
                <w:rFonts w:hint="eastAsia" w:ascii="黑体" w:hAnsi="宋体" w:eastAsia="黑体"/>
                <w:szCs w:val="21"/>
              </w:rPr>
              <w:t>持续</w:t>
            </w:r>
            <w:r>
              <w:rPr>
                <w:rFonts w:hint="eastAsia" w:ascii="黑体" w:hAnsi="宋体" w:eastAsia="黑体"/>
                <w:szCs w:val="21"/>
                <w:lang w:eastAsia="zh-CN"/>
              </w:rPr>
              <w:t>；</w:t>
            </w:r>
          </w:p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10倍额定值/1秒</w:t>
            </w:r>
          </w:p>
        </w:tc>
        <w:tc>
          <w:tcPr>
            <w:tcW w:w="743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14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储存环境</w:t>
            </w:r>
          </w:p>
        </w:tc>
        <w:tc>
          <w:tcPr>
            <w:tcW w:w="2055" w:type="dxa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-20~75℃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</w:trPr>
        <w:tc>
          <w:tcPr>
            <w:tcW w:w="748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97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功率</w:t>
            </w:r>
          </w:p>
        </w:tc>
        <w:tc>
          <w:tcPr>
            <w:tcW w:w="2404" w:type="dxa"/>
            <w:textDirection w:val="lrTb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&lt;0.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2</w:t>
            </w:r>
            <w:r>
              <w:rPr>
                <w:rFonts w:hint="eastAsia" w:ascii="黑体" w:hAnsi="宋体" w:eastAsia="黑体"/>
                <w:szCs w:val="21"/>
              </w:rPr>
              <w:t>VA（每相）</w:t>
            </w:r>
          </w:p>
        </w:tc>
        <w:tc>
          <w:tcPr>
            <w:tcW w:w="743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安全</w:t>
            </w:r>
          </w:p>
        </w:tc>
        <w:tc>
          <w:tcPr>
            <w:tcW w:w="1146" w:type="dxa"/>
            <w:vMerge w:val="restart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耐压</w:t>
            </w:r>
          </w:p>
        </w:tc>
        <w:tc>
          <w:tcPr>
            <w:tcW w:w="2055" w:type="dxa"/>
            <w:vMerge w:val="restart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输入/电源&gt;2kV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/1min</w:t>
            </w:r>
            <w:r>
              <w:rPr>
                <w:rFonts w:hint="eastAsia" w:ascii="黑体" w:hAnsi="宋体" w:eastAsia="黑体"/>
                <w:szCs w:val="21"/>
              </w:rPr>
              <w:t>，输入/输出&gt;2kV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/1min</w:t>
            </w:r>
            <w:r>
              <w:rPr>
                <w:rFonts w:hint="eastAsia" w:ascii="黑体" w:hAnsi="宋体" w:eastAsia="黑体"/>
                <w:szCs w:val="21"/>
              </w:rPr>
              <w:t>，电源/输出&gt;1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.5</w:t>
            </w:r>
            <w:r>
              <w:rPr>
                <w:rFonts w:hint="eastAsia" w:ascii="黑体" w:hAnsi="宋体" w:eastAsia="黑体"/>
                <w:szCs w:val="21"/>
              </w:rPr>
              <w:t>kV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/1min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</w:trPr>
        <w:tc>
          <w:tcPr>
            <w:tcW w:w="748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97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阻抗</w:t>
            </w:r>
          </w:p>
        </w:tc>
        <w:tc>
          <w:tcPr>
            <w:tcW w:w="2404" w:type="dxa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&lt;2mΩ</w:t>
            </w:r>
          </w:p>
        </w:tc>
        <w:tc>
          <w:tcPr>
            <w:tcW w:w="743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146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2055" w:type="dxa"/>
            <w:vMerge w:val="continue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</w:trPr>
        <w:tc>
          <w:tcPr>
            <w:tcW w:w="748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97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精度</w:t>
            </w:r>
          </w:p>
        </w:tc>
        <w:tc>
          <w:tcPr>
            <w:tcW w:w="2404" w:type="dxa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RMS测量，精度等级0.5</w:t>
            </w:r>
          </w:p>
        </w:tc>
        <w:tc>
          <w:tcPr>
            <w:tcW w:w="743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146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绝缘</w:t>
            </w:r>
          </w:p>
        </w:tc>
        <w:tc>
          <w:tcPr>
            <w:tcW w:w="2055" w:type="dxa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输入、输出、电源对机壳&gt;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10</w:t>
            </w:r>
            <w:r>
              <w:rPr>
                <w:rFonts w:hint="eastAsia" w:ascii="黑体" w:hAnsi="宋体" w:eastAsia="黑体"/>
                <w:szCs w:val="21"/>
              </w:rPr>
              <w:t>0MΩ</w:t>
            </w:r>
          </w:p>
        </w:tc>
      </w:tr>
    </w:tbl>
    <w:p>
      <w:pPr/>
    </w:p>
    <w:p>
      <w:pPr>
        <w:pStyle w:val="2"/>
      </w:pPr>
      <w:r>
        <w:rPr>
          <w:rFonts w:hint="eastAsia"/>
        </w:rPr>
        <w:t>三、仪表外型、开孔尺寸及面板说明</w:t>
      </w:r>
    </w:p>
    <w:p>
      <w:pPr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回车键</w:t>
      </w:r>
      <w:r>
        <w:rPr>
          <w:rFonts w:hint="eastAsia" w:ascii="宋体" w:hAnsi="宋体" w:eastAsia="宋体" w:cs="黑体"/>
          <w:kern w:val="2"/>
          <w:sz w:val="21"/>
          <w:szCs w:val="21"/>
          <w:lang w:val="en-US" w:eastAsia="zh-CN" w:bidi="ar-SA"/>
        </w:rPr>
        <w:pict>
          <v:shape id="_x0000_i1025" o:spt="75" type="#_x0000_t75" style="height:16.4pt;width:25.25pt;" fillcolor="#FFFFFF" filled="f" o:preferrelative="t" stroked="f" coordsize="21600,21600">
            <v:path/>
            <v:fill on="f" color2="#FFFFFF" focussize="0,0"/>
            <v:stroke on="f"/>
            <v:imagedata r:id="rId6" gain="65536f" blacklevel="0f" gamma="0" o:title="确认键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/>
          <w:szCs w:val="21"/>
        </w:rPr>
        <w:t>：密码进入确认及数字参数修改确认。</w:t>
      </w:r>
    </w:p>
    <w:p>
      <w:pPr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菜单键</w:t>
      </w:r>
      <w:r>
        <w:rPr>
          <w:rFonts w:hint="eastAsia" w:ascii="宋体" w:hAnsi="宋体" w:eastAsia="宋体" w:cs="黑体"/>
          <w:kern w:val="2"/>
          <w:sz w:val="21"/>
          <w:szCs w:val="21"/>
          <w:lang w:val="en-US" w:eastAsia="zh-CN" w:bidi="ar-SA"/>
        </w:rPr>
        <w:pict>
          <v:shape id="_x0000_i1027" o:spt="75" type="#_x0000_t75" style="height:15.6pt;width:26.65pt;" fillcolor="#FFFFFF" filled="f" o:preferrelative="t" stroked="f" coordsize="21600,21600">
            <v:path/>
            <v:fill on="f" color2="#FFFFFF" focussize="0,0"/>
            <v:stroke on="f"/>
            <v:imagedata r:id="rId7" gain="65536f" blacklevel="0f" gamma="0" o:title="menu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/>
          <w:szCs w:val="21"/>
        </w:rPr>
        <w:t>：用于选择菜单界面、退出功能和返回上级菜单功能。</w:t>
      </w:r>
    </w:p>
    <w:p>
      <w:pPr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向右键</w:t>
      </w:r>
      <w:r>
        <w:rPr>
          <w:rFonts w:hint="eastAsia" w:ascii="宋体" w:hAnsi="宋体" w:eastAsia="宋体" w:cs="黑体"/>
          <w:kern w:val="2"/>
          <w:sz w:val="21"/>
          <w:szCs w:val="21"/>
          <w:lang w:val="en-US" w:eastAsia="zh-CN" w:bidi="ar-SA"/>
        </w:rPr>
        <w:pict>
          <v:shape id="_x0000_i1028" o:spt="75" type="#_x0000_t75" style="height:17.8pt;width:27.3pt;" fillcolor="#FFFFFF" filled="f" o:preferrelative="t" stroked="f" coordsize="21600,21600">
            <v:path/>
            <v:fill on="f" color2="#FFFFFF" focussize="0,0"/>
            <v:stroke on="f"/>
            <v:imagedata r:id="rId8" gain="65536f" blacklevel="0f" gamma="0" o:title="右键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/>
          <w:szCs w:val="21"/>
        </w:rPr>
        <w:t>：测量显示时做转换功能，修改数据时此键为数字加键（从0-9循环）</w:t>
      </w:r>
    </w:p>
    <w:p>
      <w:pPr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向左键</w:t>
      </w:r>
      <w:r>
        <w:rPr>
          <w:rFonts w:hint="eastAsia" w:ascii="宋体" w:hAnsi="宋体" w:eastAsia="宋体" w:cs="黑体"/>
          <w:kern w:val="2"/>
          <w:sz w:val="21"/>
          <w:szCs w:val="21"/>
          <w:lang w:val="en-US" w:eastAsia="zh-CN" w:bidi="ar-SA"/>
        </w:rPr>
        <w:pict>
          <v:shape id="_x0000_i1029" o:spt="75" type="#_x0000_t75" style="height:16.35pt;width:25.25pt;" fillcolor="#FFFFFF" filled="f" o:preferrelative="t" stroked="f" coordsize="21600,21600">
            <v:path/>
            <v:fill on="f" color2="#FFFFFF" focussize="0,0"/>
            <v:stroke on="f"/>
            <v:imagedata r:id="rId9" gain="65536f" blacklevel="0f" gamma="0" o:title="左键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/>
          <w:szCs w:val="21"/>
        </w:rPr>
        <w:t>：测量显示时做转换功能，修改数据时此键做数字减键 （从0-9循环）</w:t>
      </w:r>
    </w:p>
    <w:p>
      <w:pPr/>
    </w:p>
    <w:p>
      <w:pPr>
        <w:rPr>
          <w:rFonts w:hint="eastAsia" w:eastAsia="宋体"/>
          <w:lang w:eastAsia="zh-CN"/>
        </w:rPr>
      </w:pPr>
      <w:bookmarkStart w:id="0" w:name="_GoBack"/>
      <w:bookmarkEnd w:id="0"/>
      <w:r>
        <w:rPr>
          <w:rFonts w:hint="eastAsia"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_x0000_i1030" o:spt="75" alt="三相表（第二版）1" type="#_x0000_t75" style="height:238.95pt;width:387.8pt;" filled="f" o:preferrelative="t" stroked="f" coordsize="21600,21600">
            <v:path/>
            <v:fill on="f" focussize="0,0"/>
            <v:stroke on="f" joinstyle="miter"/>
            <v:imagedata r:id="rId10" blacklevel="0f" o:title="三相表（第二版）1"/>
            <o:lock v:ext="edit" aspectratio="t"/>
            <w10:wrap type="none"/>
            <w10:anchorlock/>
          </v:shape>
        </w:pict>
      </w:r>
    </w:p>
    <w:p>
      <w:pPr/>
    </w:p>
    <w:p>
      <w:pPr>
        <w:pStyle w:val="2"/>
      </w:pPr>
      <w:r>
        <w:rPr>
          <w:rFonts w:hint="eastAsia"/>
        </w:rPr>
        <w:t>四、编程和使用</w:t>
      </w:r>
    </w:p>
    <w:p>
      <w:pPr/>
      <w:r>
        <w:rPr>
          <w:rFonts w:hint="eastAsia"/>
        </w:rPr>
        <w:t>4.1编程菜单说明</w:t>
      </w:r>
    </w:p>
    <w:tbl>
      <w:tblPr>
        <w:tblStyle w:val="7"/>
        <w:tblW w:w="852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2"/>
        <w:gridCol w:w="1417"/>
        <w:gridCol w:w="1757"/>
        <w:gridCol w:w="403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2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第一层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第二层</w:t>
            </w:r>
          </w:p>
        </w:tc>
        <w:tc>
          <w:tcPr>
            <w:tcW w:w="1757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第三层</w:t>
            </w:r>
          </w:p>
        </w:tc>
        <w:tc>
          <w:tcPr>
            <w:tcW w:w="403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描述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2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密码</w:t>
            </w:r>
          </w:p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（CODE）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验证密码(Put)</w:t>
            </w:r>
          </w:p>
        </w:tc>
        <w:tc>
          <w:tcPr>
            <w:tcW w:w="1757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密码数据（0～9999）</w:t>
            </w:r>
          </w:p>
        </w:tc>
        <w:tc>
          <w:tcPr>
            <w:tcW w:w="403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当输入的密码正确时才可以进入编程。默认密码:0001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" w:hRule="atLeast"/>
        </w:trPr>
        <w:tc>
          <w:tcPr>
            <w:tcW w:w="1312" w:type="dxa"/>
            <w:vMerge w:val="restart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系统设置</w:t>
            </w:r>
          </w:p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Set</w:t>
            </w:r>
          </w:p>
        </w:tc>
        <w:tc>
          <w:tcPr>
            <w:tcW w:w="141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配电方式(NET)</w:t>
            </w:r>
          </w:p>
        </w:tc>
        <w:tc>
          <w:tcPr>
            <w:tcW w:w="175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N.3.4和N.3.3</w:t>
            </w:r>
          </w:p>
        </w:tc>
        <w:tc>
          <w:tcPr>
            <w:tcW w:w="4036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选择测量信号的配电方式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1312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417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电压变比(PT.U)</w:t>
            </w:r>
          </w:p>
        </w:tc>
        <w:tc>
          <w:tcPr>
            <w:tcW w:w="1757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1～5000</w:t>
            </w:r>
          </w:p>
        </w:tc>
        <w:tc>
          <w:tcPr>
            <w:tcW w:w="4036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设置电压信号变比=1次刻度/2次刻度,例:10KV/100V=100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2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电流变比(CT.I)</w:t>
            </w:r>
          </w:p>
        </w:tc>
        <w:tc>
          <w:tcPr>
            <w:tcW w:w="1757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1～5000</w:t>
            </w:r>
          </w:p>
        </w:tc>
        <w:tc>
          <w:tcPr>
            <w:tcW w:w="403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设置电流信号变比=1次刻度/2次刻度,例:200A/5A=40</w:t>
            </w:r>
          </w:p>
        </w:tc>
      </w:tr>
    </w:tbl>
    <w:p>
      <w:pPr/>
      <w:r>
        <w:rPr>
          <w:rFonts w:hint="eastAsia"/>
        </w:rPr>
        <w:t>4.2 编程菜单结构图  用户可根据实际情况选择适当的编程设置参数：</w:t>
      </w:r>
    </w:p>
    <w:p>
      <w:pPr>
        <w:rPr>
          <w:rFonts w:hint="eastAsia" w:eastAsia="宋体"/>
          <w:sz w:val="24"/>
          <w:szCs w:val="24"/>
          <w:lang w:eastAsia="zh-CN"/>
        </w:rPr>
      </w:pPr>
      <w:r>
        <w:rPr>
          <w:rFonts w:hint="eastAsia" w:ascii="Calibri" w:hAnsi="Calibri" w:eastAsia="宋体" w:cs="黑体"/>
          <w:kern w:val="2"/>
          <w:sz w:val="24"/>
          <w:szCs w:val="24"/>
          <w:lang w:val="en-US" w:eastAsia="zh-CN" w:bidi="ar-SA"/>
        </w:rPr>
        <w:pict>
          <v:shape id="_x0000_i1035" o:spt="75" alt="三相表（第二版）2" type="#_x0000_t75" style="height:182.55pt;width:376.25pt;" filled="f" o:preferrelative="t" stroked="f" coordsize="21600,21600">
            <v:path/>
            <v:fill on="f" focussize="0,0"/>
            <v:stroke on="f" joinstyle="miter"/>
            <v:imagedata r:id="rId11" blacklevel="0f" o:title="三相表（第二版）2"/>
            <o:lock v:ext="edit" aspectratio="t"/>
            <w10:wrap type="none"/>
            <w10:anchorlock/>
          </v:shape>
        </w:pict>
      </w:r>
    </w:p>
    <w:p>
      <w:pPr>
        <w:rPr>
          <w:rFonts w:hint="eastAsia" w:ascii="宋体" w:hAnsi="宋体" w:eastAsia="宋体" w:cs="宋体"/>
          <w:color w:val="FF0000"/>
          <w:sz w:val="21"/>
          <w:szCs w:val="21"/>
        </w:rPr>
      </w:pPr>
      <w:r>
        <w:rPr>
          <w:rFonts w:hint="eastAsia" w:ascii="宋体" w:hAnsi="宋体" w:eastAsia="宋体" w:cs="宋体"/>
          <w:color w:val="FF0000"/>
          <w:sz w:val="21"/>
          <w:szCs w:val="21"/>
        </w:rPr>
        <w:t>注：1、退出菜单设定，出现SAVE时：  按</w:t>
      </w:r>
      <w:r>
        <w:rPr>
          <w:rFonts w:hint="eastAsia" w:ascii="宋体" w:hAnsi="宋体" w:eastAsia="宋体" w:cs="宋体"/>
          <w:color w:val="FF0000"/>
          <w:kern w:val="2"/>
          <w:sz w:val="21"/>
          <w:szCs w:val="21"/>
          <w:lang w:val="en-US" w:eastAsia="zh-CN" w:bidi="ar-SA"/>
        </w:rPr>
        <w:pict>
          <v:shape id="_x0000_i1032" o:spt="75" type="#_x0000_t75" style="height:15.5pt;width:23.9pt;" fillcolor="#FFFFFF" filled="f" o:preferrelative="t" stroked="f" coordsize="21600,21600">
            <v:path/>
            <v:fill on="f" color2="#FFFFFF" focussize="0,0"/>
            <v:stroke on="f"/>
            <v:imagedata r:id="rId6" gain="65536f" blacklevel="0f" gamma="0" o:title="确认键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color w:val="FF0000"/>
          <w:sz w:val="21"/>
          <w:szCs w:val="21"/>
        </w:rPr>
        <w:t>键为保存退出，按</w:t>
      </w:r>
      <w:r>
        <w:rPr>
          <w:rFonts w:hint="eastAsia" w:ascii="宋体" w:hAnsi="宋体" w:eastAsia="宋体" w:cs="宋体"/>
          <w:color w:val="FF0000"/>
          <w:kern w:val="2"/>
          <w:sz w:val="21"/>
          <w:szCs w:val="21"/>
          <w:lang w:val="en-US" w:eastAsia="zh-CN" w:bidi="ar-SA"/>
        </w:rPr>
        <w:pict>
          <v:shape id="_x0000_i1033" o:spt="75" type="#_x0000_t75" style="height:15.6pt;width:26.65pt;" fillcolor="#FFFFFF" filled="f" o:preferrelative="t" stroked="f" coordsize="21600,21600">
            <v:path/>
            <v:fill on="f" color2="#FFFFFF" focussize="0,0"/>
            <v:stroke on="f"/>
            <v:imagedata r:id="rId7" gain="65536f" blacklevel="0f" gamma="0" o:title="menu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color w:val="FF0000"/>
          <w:sz w:val="21"/>
          <w:szCs w:val="21"/>
        </w:rPr>
        <w:t>键为无效退出。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FF0000"/>
          <w:sz w:val="21"/>
          <w:szCs w:val="21"/>
        </w:rPr>
        <w:t xml:space="preserve">    2、进入编程菜单后， 若 60S内无按键操作，将默认放弃，并自动返回正常显示画面。</w:t>
      </w:r>
    </w:p>
    <w:p>
      <w:pPr>
        <w:pStyle w:val="2"/>
      </w:pPr>
      <w:r>
        <w:rPr>
          <w:rFonts w:hint="eastAsia"/>
        </w:rPr>
        <w:t>五、接线图</w:t>
      </w:r>
    </w:p>
    <w:p>
      <w:pPr>
        <w:rPr>
          <w:rFonts w:hint="eastAsia" w:eastAsia="宋体"/>
          <w:sz w:val="28"/>
          <w:szCs w:val="28"/>
          <w:lang w:eastAsia="zh-CN"/>
        </w:rPr>
      </w:pPr>
      <w:r>
        <w:rPr>
          <w:rFonts w:hint="eastAsia" w:ascii="Calibri" w:hAnsi="Calibri" w:eastAsia="宋体" w:cs="黑体"/>
          <w:kern w:val="2"/>
          <w:sz w:val="28"/>
          <w:szCs w:val="28"/>
          <w:lang w:val="en-US" w:eastAsia="zh-CN" w:bidi="ar-SA"/>
        </w:rPr>
        <w:pict>
          <v:shape id="_x0000_i1034" o:spt="75" type="#_x0000_t75" style="height:165.9pt;width:434.4pt;" fillcolor="#FFFFFF" filled="f" o:preferrelative="t" stroked="f" coordsize="21600,21600">
            <v:path/>
            <v:fill on="f" color2="#FFFFFF" focussize="0,0"/>
            <v:stroke on="f"/>
            <v:imagedata r:id="rId12" gain="65536f" blacklevel="0f" gamma="0" o:title="三相表（第二版）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ascii="宋体" w:hAnsi="宋体" w:eastAsia="宋体" w:cs="黑体"/>
          <w:kern w:val="2"/>
          <w:sz w:val="21"/>
          <w:szCs w:val="21"/>
          <w:lang w:val="en-US" w:eastAsia="zh-CN" w:bidi="ar-SA"/>
        </w:rPr>
      </w:pPr>
    </w:p>
    <w:p>
      <w:pPr>
        <w:pStyle w:val="2"/>
      </w:pPr>
      <w:r>
        <w:rPr>
          <w:rFonts w:hint="eastAsia"/>
        </w:rPr>
        <w:t>六、注意事项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1、接线方法应严格按照仪表背面的接线图接线。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2、不要在有超量灰尘和超量有害气体的地方使用。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3、长时间存放未使用时，请每三个月通电一次不少于4小时。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4、长期保存应避开直射光线，宜存放在-10℃~70℃。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5、如仪表无显示，应先检查辅助电源，电压是否在规定范围内。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6、如显示不正常，检查输入信号是否正常及信号接线端是否拧紧。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7、除非PT有足够功率，否则不能使用PT信号同时做为辅助电源，以保证仪表正常工作。</w:t>
      </w:r>
    </w:p>
    <w:p>
      <w:pPr>
        <w:spacing w:line="360" w:lineRule="auto"/>
        <w:rPr>
          <w:sz w:val="28"/>
          <w:szCs w:val="28"/>
        </w:rPr>
      </w:pPr>
      <w:r>
        <w:rPr>
          <w:rFonts w:hint="eastAsia"/>
          <w:szCs w:val="21"/>
        </w:rPr>
        <w:t xml:space="preserve">    8、CT回路中的电流接线端子螺丝务必拧紧，保证进/出线接触可靠，以免产生故障。</w:t>
      </w:r>
    </w:p>
    <w:p>
      <w:pPr>
        <w:rPr>
          <w:sz w:val="28"/>
          <w:szCs w:val="28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decorative"/>
    <w:pitch w:val="default"/>
    <w:sig w:usb0="E0002E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swiss"/>
    <w:pitch w:val="default"/>
    <w:sig w:usb0="E0002E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roman"/>
    <w:pitch w:val="default"/>
    <w:sig w:usb0="E0002E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E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4"/>
    </w:pPr>
    <w:r>
      <w:rPr>
        <w:sz w:val="18"/>
      </w:rP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>
          <v:path/>
          <v:fill on="f" focussize="0,0"/>
          <v:stroke on="f" weight="1.25pt"/>
          <v:imagedata o:title=""/>
          <o:lock v:ext="edit" aspectratio="f"/>
          <v:textbox inset="0mm,0mm,0mm,0mm" style="mso-fit-shape-to-text:t;">
            <w:txbxContent>
              <w:p>
                <w:pPr>
                  <w:snapToGrid w:val="0"/>
                  <w:rPr>
                    <w:rFonts w:hint="eastAsia" w:eastAsia="宋体"/>
                    <w:sz w:val="18"/>
                    <w:lang w:eastAsia="zh-CN"/>
                  </w:rPr>
                </w:pPr>
                <w:r>
                  <w:rPr>
                    <w:rFonts w:hint="eastAsia"/>
                    <w:sz w:val="18"/>
                    <w:lang w:eastAsia="zh-CN"/>
                  </w:rPr>
                  <w:fldChar w:fldCharType="begin"/>
                </w:r>
                <w:r>
                  <w:rPr>
                    <w:rFonts w:hint="eastAsia"/>
                    <w:sz w:val="1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separate"/>
                </w:r>
                <w:r>
                  <w:rPr>
                    <w:sz w:val="18"/>
                  </w:rPr>
                  <w:t>1</w: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0000"/>
    <w:rsid w:val="55396288"/>
  </w:rsids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name="header"/>
    <w:lsdException w:uiPriority="99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Lines="0" w:beforeAutospacing="0" w:afterLines="0" w:afterAutospacing="0" w:line="360" w:lineRule="auto"/>
      <w:outlineLvl w:val="0"/>
    </w:pPr>
    <w:rPr>
      <w:rFonts w:eastAsia="宋体"/>
      <w:b/>
      <w:kern w:val="44"/>
      <w:sz w:val="24"/>
    </w:rPr>
  </w:style>
  <w:style w:type="character" w:default="1" w:styleId="6">
    <w:name w:val="Default Paragraph Font"/>
    <w:unhideWhenUsed/>
    <w:uiPriority w:val="1"/>
  </w:style>
  <w:style w:type="table" w:default="1" w:styleId="7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8"/>
    <w:unhideWhenUsed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6"/>
    <w:link w:val="5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3</Pages>
  <Words>209</Words>
  <Characters>1193</Characters>
  <Lines>9</Lines>
  <Paragraphs>2</Paragraphs>
  <ScaleCrop>false</ScaleCrop>
  <LinksUpToDate>false</LinksUpToDate>
  <CharactersWithSpaces>0</CharactersWithSpaces>
  <Application>WPS Office_10.1.0.5457_F1E327BC-269C-435d-A152-05C5408002CA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2013-10-21T06:35:00Z</dcterms:created>
  <dc:creator>Sky123.Org</dc:creator>
  <cp:lastModifiedBy>Administrator</cp:lastModifiedBy>
  <dcterms:modified xsi:type="dcterms:W3CDTF">2016-01-25T01:49:15Z</dcterms:modified>
  <dc:title>数显智能三相表--用户手册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