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spacing w:val="40"/>
          <w:sz w:val="52"/>
          <w:szCs w:val="52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spacing w:val="40"/>
          <w:sz w:val="52"/>
          <w:szCs w:val="52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 w:cstheme="majorEastAsia"/>
          <w:b/>
          <w:spacing w:val="40"/>
          <w:sz w:val="52"/>
          <w:szCs w:val="5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4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spacing w:val="40"/>
          <w:sz w:val="52"/>
          <w:szCs w:val="52"/>
        </w:rPr>
        <w:t>导轨式单相电能表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4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40"/>
          <w:sz w:val="44"/>
          <w:szCs w:val="44"/>
        </w:rPr>
        <w:t>(两模数)</w:t>
      </w:r>
    </w:p>
    <w:p>
      <w:pPr>
        <w:pStyle w:val="2"/>
        <w:bidi w:val="0"/>
        <w:rPr>
          <w:rFonts w:hint="eastAsia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40"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40"/>
          <w:sz w:val="44"/>
          <w:szCs w:val="44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1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pacing w:val="100"/>
          <w:sz w:val="44"/>
          <w:szCs w:val="44"/>
        </w:rPr>
        <w:t>使用手册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（2021.09  Ver 1.1）</w:t>
      </w: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ascii="黑体" w:eastAsia="黑体"/>
          <w:spacing w:val="200"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spacing w:val="200"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spacing w:val="200"/>
          <w:sz w:val="32"/>
          <w:szCs w:val="32"/>
        </w:rPr>
      </w:pPr>
      <w:bookmarkStart w:id="12" w:name="_GoBack"/>
      <w:bookmarkEnd w:id="12"/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pacing w:val="2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0"/>
          <w:sz w:val="28"/>
          <w:szCs w:val="28"/>
        </w:rPr>
        <w:t>目录</w:t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TOC \o "1-3" \h  \u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_Toc15327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一、概述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_Toc15327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_Toc20774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二、产品规格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_Toc20774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_Toc20831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三、技术参数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_Toc20831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_Toc27258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四、安装与接线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_Toc27258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6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_Toc1029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4.1安装外形图及接线图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_Toc1029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6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_Toc12865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4.2安装注意事项及方法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_Toc12865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_Toc31396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五、使用说明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_Toc31396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6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_Toc7458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5.1面板格式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_Toc7458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6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_Toc9188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5.2功能说明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_Toc9188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6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_Toc24922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5.3显示说明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_Toc24922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4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_Toc7798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六、电能脉冲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_Toc7798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5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pStyle w:val="13"/>
        <w:tabs>
          <w:tab w:val="right" w:leader="dot" w:pos="8306"/>
        </w:tabs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HYPERLINK \l _Toc1685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七、典型应用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instrText xml:space="preserve"> PAGEREF _Toc1685 \h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t>6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>
      <w:pPr>
        <w:spacing w:line="360" w:lineRule="auto"/>
        <w:rPr>
          <w:sz w:val="23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</w:rPr>
        <w:fldChar w:fldCharType="end"/>
      </w:r>
    </w:p>
    <w:p/>
    <w:p/>
    <w:p/>
    <w:p/>
    <w:p/>
    <w:p/>
    <w:p/>
    <w:p/>
    <w:p/>
    <w:p/>
    <w:p/>
    <w:p/>
    <w:p/>
    <w:p>
      <w:pPr>
        <w:rPr>
          <w:rFonts w:ascii="黑体" w:hAnsi="黑体" w:eastAsia="黑体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2"/>
        <w:bidi w:val="0"/>
      </w:pPr>
      <w:bookmarkStart w:id="0" w:name="_Toc15327"/>
      <w:r>
        <w:rPr>
          <w:rFonts w:hint="eastAsia"/>
        </w:rPr>
        <w:t>一、概述</w:t>
      </w:r>
      <w:bookmarkEnd w:id="0"/>
    </w:p>
    <w:p>
      <w:pPr>
        <w:spacing w:line="360" w:lineRule="auto"/>
        <w:ind w:firstLine="420" w:firstLineChars="200"/>
      </w:pPr>
      <w:r>
        <w:rPr>
          <w:rFonts w:hint="eastAsia"/>
        </w:rPr>
        <w:t>导轨式电能表是本公司集多年的电表设计经验，所推出的新一代微型电能表。配备基本型、增强型、复费率型三种型号以便于用户在不同场合下使用。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该电能表采用LCD显示，具有电能脉冲输出功能；可用RS485通讯接口与上位机实现数据交换，极大地方便了用电自动化管理。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该电能表具有体积小、精度高、可靠性好、安装方便等优点，性能指标符合国标GB/T17215、GB/T17883和电力行业DL/T614对电能表的各项技术要求。通讯协议符合DL/T645-2007标准。</w:t>
      </w:r>
    </w:p>
    <w:p>
      <w:pPr>
        <w:pStyle w:val="2"/>
        <w:bidi w:val="0"/>
      </w:pPr>
      <w:bookmarkStart w:id="1" w:name="_Toc20774"/>
      <w:r>
        <w:rPr>
          <w:rFonts w:hint="eastAsia"/>
        </w:rPr>
        <w:t>二、产品规格</w:t>
      </w:r>
      <w:bookmarkEnd w:id="1"/>
    </w:p>
    <w:tbl>
      <w:tblPr>
        <w:tblStyle w:val="19"/>
        <w:tblW w:w="84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375"/>
        <w:gridCol w:w="1377"/>
        <w:gridCol w:w="1385"/>
        <w:gridCol w:w="1397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产品系列</w:t>
            </w:r>
          </w:p>
        </w:tc>
        <w:tc>
          <w:tcPr>
            <w:tcW w:w="1375" w:type="dxa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型号</w:t>
            </w:r>
          </w:p>
        </w:tc>
        <w:tc>
          <w:tcPr>
            <w:tcW w:w="1377" w:type="dxa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精度等级</w:t>
            </w:r>
          </w:p>
        </w:tc>
        <w:tc>
          <w:tcPr>
            <w:tcW w:w="1385" w:type="dxa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额定电压</w:t>
            </w:r>
          </w:p>
        </w:tc>
        <w:tc>
          <w:tcPr>
            <w:tcW w:w="1397" w:type="dxa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电流规格</w:t>
            </w:r>
          </w:p>
        </w:tc>
        <w:tc>
          <w:tcPr>
            <w:tcW w:w="1613" w:type="dxa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脉冲常数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导轨式单相</w:t>
            </w:r>
          </w:p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电能表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基本型</w:t>
            </w:r>
          </w:p>
          <w:p>
            <w:pPr>
              <w:spacing w:line="276" w:lineRule="auto"/>
              <w:jc w:val="center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增强型</w:t>
            </w:r>
          </w:p>
          <w:p>
            <w:pPr>
              <w:spacing w:line="276" w:lineRule="auto"/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复费率型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.0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级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AC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110V</w:t>
            </w:r>
          </w:p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AC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220V</w:t>
            </w:r>
          </w:p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AC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380V</w:t>
            </w:r>
          </w:p>
        </w:tc>
        <w:tc>
          <w:tcPr>
            <w:tcW w:w="1397" w:type="dxa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5(30)A</w:t>
            </w:r>
          </w:p>
        </w:tc>
        <w:tc>
          <w:tcPr>
            <w:tcW w:w="1613" w:type="dxa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3200imp/kWh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8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10(60)A</w:t>
            </w:r>
          </w:p>
        </w:tc>
        <w:tc>
          <w:tcPr>
            <w:tcW w:w="1613" w:type="dxa"/>
            <w:vAlign w:val="center"/>
          </w:tcPr>
          <w:p>
            <w:pPr>
              <w:spacing w:line="276" w:lineRule="auto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1600imp/kWh</w:t>
            </w:r>
          </w:p>
        </w:tc>
      </w:tr>
    </w:tbl>
    <w:p>
      <w:pPr>
        <w:pStyle w:val="2"/>
        <w:bidi w:val="0"/>
      </w:pPr>
      <w:bookmarkStart w:id="2" w:name="_Toc20831"/>
      <w:r>
        <w:rPr>
          <w:rFonts w:hint="eastAsia"/>
        </w:rPr>
        <w:t>三、技术参数</w:t>
      </w:r>
      <w:bookmarkEnd w:id="2"/>
    </w:p>
    <w:tbl>
      <w:tblPr>
        <w:tblStyle w:val="19"/>
        <w:tblW w:w="84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428"/>
        <w:gridCol w:w="1617"/>
        <w:gridCol w:w="1860"/>
        <w:gridCol w:w="2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项目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技术指标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基本型</w:t>
            </w:r>
          </w:p>
        </w:tc>
        <w:tc>
          <w:tcPr>
            <w:tcW w:w="186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增强型</w:t>
            </w:r>
          </w:p>
        </w:tc>
        <w:tc>
          <w:tcPr>
            <w:tcW w:w="24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复费率型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精度等级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有功：1.0级，无功：2.0级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额定电压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AC 110V,220V,380V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电流规格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5(30)A、10(60)A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工作电压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正常工作电压范围：0.9～1.1Un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极限工作电压范围：0.7～1.2Un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参比频率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50Hz 或60Hz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起动电流</w:t>
            </w:r>
          </w:p>
        </w:tc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直接接入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0.004Ib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功耗</w:t>
            </w:r>
          </w:p>
        </w:tc>
        <w:tc>
          <w:tcPr>
            <w:tcW w:w="14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电压线路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≤5VA/相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电流线路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&lt;4VA/相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电能脉冲输出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脉冲宽度：80ms±20ms；光耦隔离，集电极开路输出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5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数字通讯（选配）</w:t>
            </w:r>
          </w:p>
        </w:tc>
        <w:tc>
          <w:tcPr>
            <w:tcW w:w="5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 xml:space="preserve">RS485接口，DL/T645-2007协议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温度范围</w:t>
            </w:r>
          </w:p>
        </w:tc>
        <w:tc>
          <w:tcPr>
            <w:tcW w:w="58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正常工作温度：-10℃~+45℃；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极限工作温度：-20℃～+55℃；存储温度：-40℃～+70℃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53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相对湿度</w:t>
            </w:r>
          </w:p>
        </w:tc>
        <w:tc>
          <w:tcPr>
            <w:tcW w:w="58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≤95%(无凝露)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平均无故障工作时间(h)</w:t>
            </w:r>
          </w:p>
        </w:tc>
        <w:tc>
          <w:tcPr>
            <w:tcW w:w="587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≥50000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5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外形尺寸（长×宽×高）</w:t>
            </w:r>
          </w:p>
        </w:tc>
        <w:tc>
          <w:tcPr>
            <w:tcW w:w="58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90×36×66(mm)</w:t>
            </w:r>
          </w:p>
        </w:tc>
      </w:tr>
    </w:tbl>
    <w:p>
      <w:pPr>
        <w:pStyle w:val="2"/>
        <w:bidi w:val="0"/>
      </w:pPr>
      <w:bookmarkStart w:id="3" w:name="_Toc27258"/>
      <w:r>
        <w:rPr>
          <w:rFonts w:hint="eastAsia"/>
        </w:rPr>
        <w:t>四、安装与接线</w:t>
      </w:r>
      <w:bookmarkEnd w:id="3"/>
    </w:p>
    <w:p>
      <w:pPr>
        <w:pStyle w:val="3"/>
        <w:bidi w:val="0"/>
      </w:pPr>
      <w:bookmarkStart w:id="4" w:name="_Toc1029"/>
      <w:r>
        <w:rPr>
          <w:rFonts w:hint="eastAsia"/>
        </w:rPr>
        <w:t>4.1安装外形图及接线图</w:t>
      </w:r>
      <w:bookmarkEnd w:id="4"/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4.1.1、外形及尺寸</w:t>
      </w:r>
    </w:p>
    <w:p>
      <w:pPr>
        <w:spacing w:line="360" w:lineRule="auto"/>
        <w:jc w:val="center"/>
      </w:pPr>
      <w:r>
        <w:drawing>
          <wp:inline distT="0" distB="0" distL="0" distR="0">
            <wp:extent cx="4089400" cy="31667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4.1.2、安装图</w:t>
      </w:r>
    </w:p>
    <w:p>
      <w:pPr>
        <w:spacing w:line="360" w:lineRule="auto"/>
        <w:ind w:firstLine="420" w:firstLineChars="200"/>
      </w:pPr>
      <w:r>
        <w:rPr>
          <w:rFonts w:hint="eastAsia"/>
        </w:rPr>
        <w:t>该系列仪表采用35mm标准导轨安装方式（卡扣在上），如下图</w:t>
      </w:r>
    </w:p>
    <w:p>
      <w:pPr>
        <w:spacing w:line="360" w:lineRule="auto"/>
        <w:jc w:val="center"/>
      </w:pPr>
      <w:r>
        <w:drawing>
          <wp:inline distT="0" distB="0" distL="0" distR="0">
            <wp:extent cx="4859655" cy="16681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4.1.3、接线图</w:t>
      </w:r>
    </w:p>
    <w:p>
      <w:pPr>
        <w:spacing w:line="360" w:lineRule="auto"/>
        <w:jc w:val="center"/>
      </w:pPr>
      <w:r>
        <w:drawing>
          <wp:inline distT="0" distB="0" distL="0" distR="0">
            <wp:extent cx="5134610" cy="1122045"/>
            <wp:effectExtent l="0" t="0" r="8890" b="1905"/>
            <wp:docPr id="22" name="图片 22" descr="C:\Users\litiantian\Desktop\QQ截图20210922161749.jpgQQ截图2021092216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litiantian\Desktop\QQ截图20210922161749.jpgQQ截图202109221617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</w:pPr>
      <w:bookmarkStart w:id="5" w:name="_Toc12865"/>
      <w:r>
        <w:rPr>
          <w:rFonts w:hint="eastAsia"/>
        </w:rPr>
        <w:t>4.2安装注意事项及方法</w:t>
      </w:r>
      <w:bookmarkEnd w:id="5"/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4.2.1、电能表应安装在室内通风干燥的地方，采用35mm标准导轨方式安装。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4.2.2、安装接线时应按照电能表侧面的接线图进行接线，最好用铜接线头接入。接线时应注意进线和出线方向，并将螺钉拧紧，避免因接触不良而引起电能表工作不正常；</w:t>
      </w:r>
      <w:r>
        <w:rPr>
          <w:rFonts w:ascii="宋体" w:hAnsi="宋体"/>
        </w:rPr>
        <w:t xml:space="preserve"> </w:t>
      </w:r>
    </w:p>
    <w:p>
      <w:pPr>
        <w:pStyle w:val="2"/>
        <w:bidi w:val="0"/>
      </w:pPr>
      <w:bookmarkStart w:id="6" w:name="_Toc31396"/>
      <w:r>
        <w:rPr>
          <w:rFonts w:hint="eastAsia"/>
        </w:rPr>
        <w:t>五、使用说明</w:t>
      </w:r>
      <w:bookmarkEnd w:id="6"/>
    </w:p>
    <w:p>
      <w:pPr>
        <w:pStyle w:val="3"/>
        <w:bidi w:val="0"/>
      </w:pPr>
      <w:bookmarkStart w:id="7" w:name="_Toc7458"/>
      <w:r>
        <w:rPr>
          <w:rFonts w:hint="eastAsia"/>
        </w:rPr>
        <w:t>5.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面板格式</w:t>
      </w:r>
      <w:bookmarkEnd w:id="7"/>
    </w:p>
    <w:p>
      <w:pPr>
        <w:ind w:left="1365" w:hanging="1365" w:hangingChars="650"/>
        <w:jc w:val="center"/>
      </w:pPr>
      <w:r>
        <w:drawing>
          <wp:inline distT="0" distB="0" distL="0" distR="0">
            <wp:extent cx="2700655" cy="28873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面板说明：</w:t>
      </w:r>
    </w:p>
    <w:tbl>
      <w:tblPr>
        <w:tblStyle w:val="19"/>
        <w:tblW w:w="80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490"/>
        <w:gridCol w:w="1711"/>
        <w:gridCol w:w="2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编号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状态示例</w:t>
            </w: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功能说明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LCD</w:t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液晶显示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有功指示灯</w:t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指示灯点亮</w:t>
            </w: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有功电能脉冲指示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DO</w:t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指示灯点亮</w:t>
            </w: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继电器处于闭合状态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按键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drawing>
                <wp:inline distT="0" distB="0" distL="0" distR="0">
                  <wp:extent cx="144145" cy="14414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确认键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按键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drawing>
                <wp:inline distT="0" distB="0" distL="0" distR="0">
                  <wp:extent cx="144145" cy="14414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返回和主菜单键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24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按键</w:t>
            </w:r>
            <w:r>
              <w:rPr>
                <w:rFonts w:asciiTheme="minorEastAsia" w:hAnsiTheme="minorEastAsia" w:eastAsiaTheme="minorEastAsia" w:cstheme="minorEastAsia"/>
                <w:szCs w:val="21"/>
              </w:rPr>
              <w:drawing>
                <wp:inline distT="0" distB="0" distL="0" distR="0">
                  <wp:extent cx="144145" cy="14414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295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加字和上翻键</w:t>
            </w:r>
          </w:p>
        </w:tc>
      </w:tr>
    </w:tbl>
    <w:p>
      <w:pPr>
        <w:rPr>
          <w:rFonts w:ascii="宋体" w:hAnsi="宋体"/>
          <w:b/>
        </w:rPr>
      </w:pPr>
    </w:p>
    <w:p>
      <w:pPr>
        <w:pStyle w:val="3"/>
        <w:bidi w:val="0"/>
      </w:pPr>
      <w:bookmarkStart w:id="8" w:name="_Toc9188"/>
      <w:r>
        <w:rPr>
          <w:rFonts w:hint="eastAsia"/>
        </w:rPr>
        <w:t>5.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功能说明</w:t>
      </w:r>
      <w:bookmarkEnd w:id="8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5.2.1计量： 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●单相导轨电能表可进行单相有功正、反相，无功正、反相电能的计量；同时可测量电压、电流、功率因数、频率、有功功率、无功功率。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5.2.2显示：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●基本型只显示四象限电能。</w:t>
      </w:r>
    </w:p>
    <w:p>
      <w:pPr>
        <w:spacing w:line="360" w:lineRule="auto"/>
        <w:ind w:left="630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●标准型具有数据轮显和数据键显功能，可通过面板上的按键查询电压、电流、功率因数、频率、有功功率、无功功率、四象限电能。</w:t>
      </w:r>
    </w:p>
    <w:p>
      <w:pPr>
        <w:spacing w:line="360" w:lineRule="auto"/>
        <w:ind w:left="630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●有功电能脉冲输出，用于校表、远程电能采集。 无源光电隔离型输出端口，脉冲宽度：80ms±20ms。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●通信接口：RS485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●通信协议：DL/T645-2007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●通信速率：9600bps（默认）、4800bps、2400bps、1200bps可选编程功能：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●电表地址设置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5.2.3 抄表和电能管理功能：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●通过RS485组成远程自动抄表，实现电能的智能化管理。</w:t>
      </w:r>
    </w:p>
    <w:p>
      <w:pPr>
        <w:pStyle w:val="3"/>
        <w:bidi w:val="0"/>
      </w:pPr>
      <w:bookmarkStart w:id="9" w:name="_Toc24922"/>
      <w:r>
        <w:rPr>
          <w:rFonts w:hint="eastAsia"/>
        </w:rPr>
        <w:t>5.3显示说明</w:t>
      </w:r>
      <w:bookmarkEnd w:id="9"/>
    </w:p>
    <w:p>
      <w:r>
        <w:rPr>
          <w:rFonts w:hint="eastAsia"/>
        </w:rPr>
        <w:t>5.3.1 基本型表共6个显示页面，如下表：</w:t>
      </w:r>
    </w:p>
    <w:tbl>
      <w:tblPr>
        <w:tblStyle w:val="19"/>
        <w:tblW w:w="7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364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2014855" cy="17780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855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2082800" cy="178625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（1）正向有功电能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（2）反向有功电能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06600" cy="173545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896745" cy="166814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（3）正向无功电能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（4）反向无功电能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2023745" cy="17526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05000" cy="165925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65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（5）通讯地址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（6）脉冲常数</w:t>
            </w:r>
          </w:p>
        </w:tc>
      </w:tr>
    </w:tbl>
    <w:p>
      <w:r>
        <w:rPr>
          <w:rFonts w:hint="eastAsia"/>
        </w:rPr>
        <w:t>5.3.2增强型在基本型页面的基础上增加6个页面，计12页，增加部分如下表：</w:t>
      </w:r>
    </w:p>
    <w:tbl>
      <w:tblPr>
        <w:tblStyle w:val="19"/>
        <w:tblW w:w="7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364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1964055" cy="17272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5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</w:pPr>
            <w:r>
              <w:drawing>
                <wp:inline distT="0" distB="0" distL="0" distR="0">
                  <wp:extent cx="1913255" cy="166814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55" cy="166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（1）电压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（2）电流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72945" cy="171005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887855" cy="163385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（3）有功功率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（4）功率因数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55800" cy="171005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930400" cy="167640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（5）频率</w:t>
            </w:r>
          </w:p>
        </w:tc>
        <w:tc>
          <w:tcPr>
            <w:tcW w:w="349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（6）无功功率</w:t>
            </w:r>
          </w:p>
        </w:tc>
      </w:tr>
    </w:tbl>
    <w:p>
      <w:pPr>
        <w:pStyle w:val="2"/>
        <w:bidi w:val="0"/>
      </w:pPr>
      <w:bookmarkStart w:id="10" w:name="_Toc7798"/>
      <w:r>
        <w:rPr>
          <w:rFonts w:hint="eastAsia"/>
        </w:rPr>
        <w:t>六、电能脉冲</w:t>
      </w:r>
      <w:bookmarkEnd w:id="10"/>
    </w:p>
    <w:p>
      <w:pPr>
        <w:spacing w:line="360" w:lineRule="auto"/>
        <w:ind w:firstLine="420" w:firstLineChars="200"/>
      </w:pPr>
      <w:r>
        <w:rPr>
          <w:rFonts w:hint="eastAsia" w:ascii="宋体" w:hAnsi="宋体"/>
        </w:rPr>
        <w:t>导轨式单相电能表提供双向有功、无功电能计量，1路有功电能脉冲输出功能和RS485的数字接口来完成电能数据的显示和远传。集电极开路的光耦继电器的电能脉冲实现有功电能和无功电能远传，可采用远程的计算机终端、PLC、DI开关采集模块采集仪表的脉冲总数来实现电能累积计量。所采用输出方式是电能的精度检验的方式（国家计量规程：标准表的脉冲误差比较方法）。秒脉冲可用来远程监测仪表内部时钟，既仪表内部时钟每加一秒，产生一个脉冲信号。</w:t>
      </w:r>
    </w:p>
    <w:p>
      <w:pPr>
        <w:spacing w:line="360" w:lineRule="auto"/>
        <w:ind w:firstLine="420" w:firstLineChars="200"/>
      </w:pPr>
      <w:r>
        <w:rPr>
          <w:rFonts w:hint="eastAsia" w:ascii="宋体" w:hAnsi="宋体"/>
        </w:rPr>
        <w:t>（1）电气特性：脉冲采集接口的电路示意图中VCC≤48、IZ≤50mA。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（2）脉冲常数：3200imp/kWh（见下表），其意义为：当仪表累积1kWh电能时脉冲输出个数为3200个。</w:t>
      </w:r>
    </w:p>
    <w:p>
      <w:pPr>
        <w:spacing w:line="360" w:lineRule="auto"/>
        <w:ind w:firstLine="420" w:firstLineChars="200"/>
      </w:pPr>
      <w:r>
        <w:rPr>
          <w:rFonts w:hint="eastAsia" w:ascii="宋体" w:hAnsi="宋体"/>
        </w:rPr>
        <w:t>（3）应用举例：PLC终端使用脉冲计数装置，假定在长度为t的一段时间内采集脉冲个数为N个，脉冲常数为 3200，则该时间段内仪表电能累积为N/3200（kWh）电能。</w:t>
      </w:r>
    </w:p>
    <w:p>
      <w:pPr>
        <w:pStyle w:val="2"/>
        <w:bidi w:val="0"/>
      </w:pPr>
      <w:bookmarkStart w:id="11" w:name="_Toc1685"/>
      <w:r>
        <w:rPr>
          <w:rFonts w:hint="eastAsia"/>
        </w:rPr>
        <w:t>七、典型应用</w:t>
      </w:r>
      <w:bookmarkEnd w:id="11"/>
    </w:p>
    <w:p>
      <w:pPr>
        <w:spacing w:line="360" w:lineRule="auto"/>
        <w:jc w:val="center"/>
      </w:pPr>
      <w:r>
        <w:drawing>
          <wp:inline distT="0" distB="0" distL="0" distR="0">
            <wp:extent cx="2404745" cy="24638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200"/>
      </w:pPr>
      <w:r>
        <w:rPr>
          <w:rFonts w:hint="eastAsia"/>
        </w:rPr>
        <w:t>●该系列导轨式电能表通过LCD液晶显示屏显示电能消耗。</w:t>
      </w:r>
    </w:p>
    <w:p>
      <w:pPr>
        <w:bidi w:val="0"/>
        <w:ind w:firstLine="420" w:firstLineChars="200"/>
      </w:pPr>
      <w:r>
        <w:rPr>
          <w:rFonts w:hint="eastAsia"/>
        </w:rPr>
        <w:t>●该电能表带有电能脉冲输出接口，可采集有功电能，实现DCS远传。并且带有 RS485通讯接口，可通过上位机实现抄表和编程设置。（通讯说明见《导轨电能表通讯说明》）</w:t>
      </w:r>
    </w:p>
    <w:p>
      <w:pPr>
        <w:bidi w:val="0"/>
        <w:ind w:firstLine="420" w:firstLineChars="200"/>
      </w:pPr>
      <w:r>
        <w:rPr>
          <w:rFonts w:hint="eastAsia"/>
        </w:rPr>
        <w:t>●此外，微型化的结构方便其与微型断路器一起使用，安装于终端配电箱内。为低压配电终端的电能计量提供了有效的解决方案。</w:t>
      </w:r>
    </w:p>
    <w:p>
      <w:pPr>
        <w:bidi w:val="0"/>
        <w:ind w:firstLine="420" w:firstLineChars="200"/>
      </w:pPr>
      <w:r>
        <w:rPr>
          <w:rFonts w:hint="eastAsia"/>
        </w:rPr>
        <w:t>●广泛使用于楼宇、商场、会展中心、学校、机场、港口及工厂等</w:t>
      </w:r>
    </w:p>
    <w:p>
      <w:pPr>
        <w:bidi w:val="0"/>
        <w:rPr>
          <w:rFonts w:hint="eastAsia"/>
          <w:b/>
          <w:bCs/>
        </w:rPr>
      </w:pPr>
    </w:p>
    <w:p>
      <w:pPr>
        <w:bidi w:val="0"/>
        <w:rPr>
          <w:rFonts w:hint="eastAsia"/>
          <w:b/>
          <w:bCs/>
          <w:sz w:val="28"/>
          <w:szCs w:val="28"/>
        </w:rPr>
      </w:pPr>
    </w:p>
    <w:p>
      <w:pPr>
        <w:bidi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订货规范</w:t>
      </w:r>
    </w:p>
    <w:p>
      <w:pPr>
        <w:bidi w:val="0"/>
        <w:ind w:firstLine="420" w:firstLineChars="200"/>
      </w:pPr>
      <w:r>
        <w:rPr>
          <w:rFonts w:hint="eastAsia"/>
        </w:rPr>
        <w:t>产品系列：导轨式单相电能表</w:t>
      </w:r>
    </w:p>
    <w:p>
      <w:pPr>
        <w:bidi w:val="0"/>
        <w:ind w:firstLine="420" w:firstLineChars="200"/>
      </w:pPr>
      <w:r>
        <w:rPr>
          <w:rFonts w:hint="eastAsia"/>
        </w:rPr>
        <w:t>型    号：增强型</w:t>
      </w:r>
    </w:p>
    <w:p>
      <w:pPr>
        <w:bidi w:val="0"/>
        <w:ind w:firstLine="420" w:firstLineChars="200"/>
      </w:pPr>
      <w:r>
        <w:rPr>
          <w:rFonts w:hint="eastAsia"/>
        </w:rPr>
        <w:t>额定电压：220V</w:t>
      </w:r>
    </w:p>
    <w:p>
      <w:pPr>
        <w:bidi w:val="0"/>
        <w:ind w:firstLine="420" w:firstLineChars="200"/>
      </w:pPr>
      <w:r>
        <w:rPr>
          <w:rFonts w:hint="eastAsia"/>
        </w:rPr>
        <w:t>电流规格：5（30）A</w:t>
      </w:r>
    </w:p>
    <w:p>
      <w:pPr>
        <w:bidi w:val="0"/>
        <w:ind w:firstLine="420" w:firstLineChars="200"/>
      </w:pPr>
      <w:r>
        <w:rPr>
          <w:rFonts w:hint="eastAsia"/>
        </w:rPr>
        <w:t>测    量：总电能、四象限电能、电压、电流、有功功率、功率因数等</w:t>
      </w:r>
    </w:p>
    <w:p>
      <w:pPr>
        <w:bidi w:val="0"/>
        <w:ind w:firstLine="420" w:firstLineChars="200"/>
        <w:rPr>
          <w:rFonts w:ascii="黑体" w:hAnsi="黑体" w:eastAsia="黑体"/>
          <w:sz w:val="18"/>
          <w:szCs w:val="18"/>
        </w:rPr>
      </w:pPr>
      <w:r>
        <w:rPr>
          <w:rFonts w:hint="eastAsia"/>
        </w:rPr>
        <w:t>附加功能：RS485通讯，DL/T645-2007协议</w:t>
      </w:r>
    </w:p>
    <w:sectPr>
      <w:footerReference r:id="rId6" w:type="default"/>
      <w:pgSz w:w="11906" w:h="16838"/>
      <w:pgMar w:top="1440" w:right="1134" w:bottom="1440" w:left="1134" w:header="851" w:footer="567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sz w:val="21"/>
        <w:szCs w:val="21"/>
      </w:rPr>
    </w:pP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5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5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B3"/>
    <w:rsid w:val="000447D3"/>
    <w:rsid w:val="00045E5E"/>
    <w:rsid w:val="0004709F"/>
    <w:rsid w:val="00061CAB"/>
    <w:rsid w:val="000A0D6E"/>
    <w:rsid w:val="000A2A2E"/>
    <w:rsid w:val="000D2469"/>
    <w:rsid w:val="000D4E20"/>
    <w:rsid w:val="000E59DE"/>
    <w:rsid w:val="000E5E68"/>
    <w:rsid w:val="00111D9E"/>
    <w:rsid w:val="001173D6"/>
    <w:rsid w:val="0012235A"/>
    <w:rsid w:val="00133A28"/>
    <w:rsid w:val="0015638C"/>
    <w:rsid w:val="001666F5"/>
    <w:rsid w:val="00191224"/>
    <w:rsid w:val="001B559D"/>
    <w:rsid w:val="001E2C0A"/>
    <w:rsid w:val="002153BD"/>
    <w:rsid w:val="00217447"/>
    <w:rsid w:val="002272A0"/>
    <w:rsid w:val="00256BB1"/>
    <w:rsid w:val="00260B2F"/>
    <w:rsid w:val="0028534D"/>
    <w:rsid w:val="00294134"/>
    <w:rsid w:val="002A1D0A"/>
    <w:rsid w:val="002D0D55"/>
    <w:rsid w:val="002D1966"/>
    <w:rsid w:val="002F0946"/>
    <w:rsid w:val="002F13C3"/>
    <w:rsid w:val="0030359F"/>
    <w:rsid w:val="003203FC"/>
    <w:rsid w:val="003577A8"/>
    <w:rsid w:val="00370098"/>
    <w:rsid w:val="00381E6F"/>
    <w:rsid w:val="003936B4"/>
    <w:rsid w:val="00397437"/>
    <w:rsid w:val="003A3FC6"/>
    <w:rsid w:val="003B352C"/>
    <w:rsid w:val="003D296D"/>
    <w:rsid w:val="003D7DFE"/>
    <w:rsid w:val="003F2D02"/>
    <w:rsid w:val="00401FEF"/>
    <w:rsid w:val="00403E1E"/>
    <w:rsid w:val="00427F8A"/>
    <w:rsid w:val="00435591"/>
    <w:rsid w:val="00447A2F"/>
    <w:rsid w:val="00452DA3"/>
    <w:rsid w:val="00470E99"/>
    <w:rsid w:val="004726AE"/>
    <w:rsid w:val="00490973"/>
    <w:rsid w:val="0049470D"/>
    <w:rsid w:val="004F5D41"/>
    <w:rsid w:val="00510209"/>
    <w:rsid w:val="00515432"/>
    <w:rsid w:val="0057665E"/>
    <w:rsid w:val="00591137"/>
    <w:rsid w:val="005B3DF3"/>
    <w:rsid w:val="005C4D26"/>
    <w:rsid w:val="005D0334"/>
    <w:rsid w:val="005E214C"/>
    <w:rsid w:val="00645E7B"/>
    <w:rsid w:val="00655C0A"/>
    <w:rsid w:val="00657C29"/>
    <w:rsid w:val="0066721A"/>
    <w:rsid w:val="00687DC0"/>
    <w:rsid w:val="006C5376"/>
    <w:rsid w:val="006C7AFB"/>
    <w:rsid w:val="006F5E30"/>
    <w:rsid w:val="007207B8"/>
    <w:rsid w:val="00737AAF"/>
    <w:rsid w:val="007B1A8F"/>
    <w:rsid w:val="007B5892"/>
    <w:rsid w:val="007D56D7"/>
    <w:rsid w:val="007D7656"/>
    <w:rsid w:val="007E35EB"/>
    <w:rsid w:val="00807F6A"/>
    <w:rsid w:val="00837C44"/>
    <w:rsid w:val="00846740"/>
    <w:rsid w:val="00856FE8"/>
    <w:rsid w:val="008606B8"/>
    <w:rsid w:val="008703ED"/>
    <w:rsid w:val="008706D4"/>
    <w:rsid w:val="008A57B1"/>
    <w:rsid w:val="008B4244"/>
    <w:rsid w:val="008D0CCF"/>
    <w:rsid w:val="008E3F67"/>
    <w:rsid w:val="00904DCB"/>
    <w:rsid w:val="00905F92"/>
    <w:rsid w:val="00917308"/>
    <w:rsid w:val="00940964"/>
    <w:rsid w:val="00950E63"/>
    <w:rsid w:val="0095613A"/>
    <w:rsid w:val="00962FBD"/>
    <w:rsid w:val="00966848"/>
    <w:rsid w:val="00987EBA"/>
    <w:rsid w:val="00995D92"/>
    <w:rsid w:val="009A1EFD"/>
    <w:rsid w:val="009E4ECF"/>
    <w:rsid w:val="009F2782"/>
    <w:rsid w:val="00A03E8F"/>
    <w:rsid w:val="00A631E5"/>
    <w:rsid w:val="00A8195E"/>
    <w:rsid w:val="00A87861"/>
    <w:rsid w:val="00A910F1"/>
    <w:rsid w:val="00AB4907"/>
    <w:rsid w:val="00AB6526"/>
    <w:rsid w:val="00AB7AAB"/>
    <w:rsid w:val="00AC4C0E"/>
    <w:rsid w:val="00AE1C52"/>
    <w:rsid w:val="00AE6102"/>
    <w:rsid w:val="00AF1ED0"/>
    <w:rsid w:val="00AF28E9"/>
    <w:rsid w:val="00B20DB8"/>
    <w:rsid w:val="00B24D7F"/>
    <w:rsid w:val="00B300F6"/>
    <w:rsid w:val="00B40671"/>
    <w:rsid w:val="00B4319C"/>
    <w:rsid w:val="00B67C21"/>
    <w:rsid w:val="00B7779E"/>
    <w:rsid w:val="00B91378"/>
    <w:rsid w:val="00BC5DE9"/>
    <w:rsid w:val="00BC7B0A"/>
    <w:rsid w:val="00BD7D25"/>
    <w:rsid w:val="00BE3EC2"/>
    <w:rsid w:val="00C27C80"/>
    <w:rsid w:val="00C37DEC"/>
    <w:rsid w:val="00C42BE8"/>
    <w:rsid w:val="00C45E34"/>
    <w:rsid w:val="00C90F33"/>
    <w:rsid w:val="00C96127"/>
    <w:rsid w:val="00C9761D"/>
    <w:rsid w:val="00CA53C1"/>
    <w:rsid w:val="00CA563F"/>
    <w:rsid w:val="00CB58DB"/>
    <w:rsid w:val="00CE6213"/>
    <w:rsid w:val="00CF11B3"/>
    <w:rsid w:val="00D0194E"/>
    <w:rsid w:val="00D147FF"/>
    <w:rsid w:val="00D37104"/>
    <w:rsid w:val="00D56417"/>
    <w:rsid w:val="00D73CC4"/>
    <w:rsid w:val="00D75CDA"/>
    <w:rsid w:val="00D823B1"/>
    <w:rsid w:val="00D86F22"/>
    <w:rsid w:val="00D92154"/>
    <w:rsid w:val="00DB7DF8"/>
    <w:rsid w:val="00DE0AC8"/>
    <w:rsid w:val="00DF1EAE"/>
    <w:rsid w:val="00DF7FC5"/>
    <w:rsid w:val="00E12B02"/>
    <w:rsid w:val="00E216E1"/>
    <w:rsid w:val="00E34F07"/>
    <w:rsid w:val="00E373C8"/>
    <w:rsid w:val="00E41508"/>
    <w:rsid w:val="00E448ED"/>
    <w:rsid w:val="00E50C0C"/>
    <w:rsid w:val="00E72B5E"/>
    <w:rsid w:val="00E779A2"/>
    <w:rsid w:val="00EF63D3"/>
    <w:rsid w:val="00F11031"/>
    <w:rsid w:val="00F12A83"/>
    <w:rsid w:val="00F21748"/>
    <w:rsid w:val="00F36EA2"/>
    <w:rsid w:val="00F93908"/>
    <w:rsid w:val="00FA7282"/>
    <w:rsid w:val="00FC271F"/>
    <w:rsid w:val="00FC444F"/>
    <w:rsid w:val="00FE667F"/>
    <w:rsid w:val="015A25F8"/>
    <w:rsid w:val="017525B1"/>
    <w:rsid w:val="024D3BA9"/>
    <w:rsid w:val="033B2562"/>
    <w:rsid w:val="05ED13C7"/>
    <w:rsid w:val="09D56E62"/>
    <w:rsid w:val="0B5F5F36"/>
    <w:rsid w:val="14823155"/>
    <w:rsid w:val="1C0D546F"/>
    <w:rsid w:val="24585B0A"/>
    <w:rsid w:val="2ED30502"/>
    <w:rsid w:val="318F5BCC"/>
    <w:rsid w:val="3A5D10CE"/>
    <w:rsid w:val="50B075FC"/>
    <w:rsid w:val="55181468"/>
    <w:rsid w:val="57BE20B9"/>
    <w:rsid w:val="58E72AE7"/>
    <w:rsid w:val="59296700"/>
    <w:rsid w:val="59354F86"/>
    <w:rsid w:val="63554905"/>
    <w:rsid w:val="69866E1D"/>
    <w:rsid w:val="6DA55D7A"/>
    <w:rsid w:val="6ECA36D3"/>
    <w:rsid w:val="6F6F2F4F"/>
    <w:rsid w:val="72005DD7"/>
    <w:rsid w:val="785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ascii="Arial" w:hAnsi="Arial"/>
      <w:b/>
      <w:sz w:val="2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0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annotation text"/>
    <w:basedOn w:val="1"/>
    <w:link w:val="25"/>
    <w:semiHidden/>
    <w:unhideWhenUsed/>
    <w:qFormat/>
    <w:uiPriority w:val="0"/>
    <w:pPr>
      <w:jc w:val="left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0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8">
    <w:name w:val="annotation subject"/>
    <w:basedOn w:val="6"/>
    <w:next w:val="6"/>
    <w:link w:val="26"/>
    <w:semiHidden/>
    <w:unhideWhenUsed/>
    <w:qFormat/>
    <w:uiPriority w:val="0"/>
    <w:rPr>
      <w:b/>
      <w:bCs/>
    </w:rPr>
  </w:style>
  <w:style w:type="character" w:styleId="21">
    <w:name w:val="annotation reference"/>
    <w:basedOn w:val="20"/>
    <w:semiHidden/>
    <w:unhideWhenUsed/>
    <w:qFormat/>
    <w:uiPriority w:val="0"/>
    <w:rPr>
      <w:sz w:val="21"/>
      <w:szCs w:val="21"/>
    </w:rPr>
  </w:style>
  <w:style w:type="character" w:customStyle="1" w:styleId="22">
    <w:name w:val="批注框文本 字符"/>
    <w:basedOn w:val="20"/>
    <w:link w:val="10"/>
    <w:semiHidden/>
    <w:qFormat/>
    <w:uiPriority w:val="99"/>
    <w:rPr>
      <w:sz w:val="18"/>
      <w:szCs w:val="18"/>
    </w:rPr>
  </w:style>
  <w:style w:type="character" w:customStyle="1" w:styleId="23">
    <w:name w:val="页眉 字符"/>
    <w:basedOn w:val="20"/>
    <w:link w:val="12"/>
    <w:semiHidden/>
    <w:qFormat/>
    <w:uiPriority w:val="99"/>
    <w:rPr>
      <w:sz w:val="18"/>
      <w:szCs w:val="18"/>
    </w:rPr>
  </w:style>
  <w:style w:type="character" w:customStyle="1" w:styleId="24">
    <w:name w:val="页脚 字符"/>
    <w:basedOn w:val="20"/>
    <w:link w:val="11"/>
    <w:qFormat/>
    <w:uiPriority w:val="99"/>
    <w:rPr>
      <w:sz w:val="18"/>
      <w:szCs w:val="18"/>
    </w:rPr>
  </w:style>
  <w:style w:type="character" w:customStyle="1" w:styleId="25">
    <w:name w:val="批注文字 字符"/>
    <w:basedOn w:val="20"/>
    <w:link w:val="6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6">
    <w:name w:val="批注主题 字符"/>
    <w:basedOn w:val="25"/>
    <w:link w:val="18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2.xml"/><Relationship Id="rId28" Type="http://schemas.openxmlformats.org/officeDocument/2006/relationships/customXml" Target="../customXml/item1.xml"/><Relationship Id="rId27" Type="http://schemas.openxmlformats.org/officeDocument/2006/relationships/image" Target="media/image20.jpe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emf"/><Relationship Id="rId13" Type="http://schemas.openxmlformats.org/officeDocument/2006/relationships/image" Target="media/image6.emf"/><Relationship Id="rId12" Type="http://schemas.openxmlformats.org/officeDocument/2006/relationships/image" Target="media/image5.emf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8C70F-0F0D-4893-9A4D-E24275D44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1881</Words>
  <Characters>2274</Characters>
  <Lines>22</Lines>
  <Paragraphs>6</Paragraphs>
  <TotalTime>1</TotalTime>
  <ScaleCrop>false</ScaleCrop>
  <LinksUpToDate>false</LinksUpToDate>
  <CharactersWithSpaces>2383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2021-09-16T02:08:00Z</dcterms:created>
  <dc:creator>Sky123.Org</dc:creator>
  <cp:lastModifiedBy>呦呵</cp:lastModifiedBy>
  <cp:lastPrinted>2019-12-05T06:21:00Z</cp:lastPrinted>
  <dcterms:modified xsi:type="dcterms:W3CDTF">2022-07-22T00:43:50Z</dcterms:modified>
  <dc:title>单 相 导 轨 式 电 能 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1856B54E4C99404BB3B2D9E1819249F2</vt:lpwstr>
  </property>
</Properties>
</file>